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18.12.2012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-пп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материальной помощи гражданам, находящимся в трудной жизненной ситуации, проживающим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Еврейской автономной области»</w:t>
      </w:r>
      <w:r/>
    </w:p>
    <w:p>
      <w:pPr>
        <w:pStyle w:val="85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5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  <w:r/>
    </w:p>
    <w:p>
      <w:pPr>
        <w:pStyle w:val="85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1. Внести в постановление правительства Еврейской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18.12.2012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-пп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материальной помощи гражданам, находящимся в трудной жизненной ситуации, проживающим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Еврейской автономной области»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1.1. В наименовании и пункте 1 слово «проживающим» исключить. </w:t>
      </w:r>
      <w:r/>
    </w:p>
    <w:p>
      <w:pPr>
        <w:pStyle w:val="855"/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>
        <w:rPr>
          <w:rFonts w:ascii="Times New Roman" w:hAnsi="Times New Roman"/>
          <w:sz w:val="28"/>
          <w:szCs w:val="28"/>
        </w:rPr>
        <w:t xml:space="preserve">о порядке предоставления материальной помощи гражданам, находящимся в трудной жизненной ситуации, проживающим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 утвержденном вышеуказанным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в наименовании слово «проживающим» исключить;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55"/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1 изложить в следующей редакции: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55"/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 порядке предоставления материальной помощи гражданам, находящимся в трудной жизненной ситуации, на терри</w:t>
      </w:r>
      <w:r>
        <w:rPr>
          <w:rFonts w:ascii="Times New Roman" w:hAnsi="Times New Roman"/>
          <w:sz w:val="28"/>
          <w:szCs w:val="28"/>
          <w:lang w:eastAsia="ru-RU"/>
        </w:rPr>
        <w:t xml:space="preserve">тории Еврейской автономной области (далее – Положение) определяет порядок и основания предоставления материальной помощи гражданам, находящимся в трудной жизненной ситуации (далее – гражданин), на территории Еврейской автономной области (далее – область).»;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«2. Порядок оказания материальной помощи: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55"/>
        <w:contextualSpacing w:val="0"/>
        <w:ind w:left="0" w:right="0"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2.1. Материальная помощь предоставляется областным государс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твенным бюджетным учреждением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Комплексный центр социального обслуживания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 Центр).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2.2. Для предоставления материальной помощи необходимы следующие документы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 (сведения)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а) заявление,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котором указываются сведения о составе семьи гражданина, его доходах (доходах членов его семьи)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принадлежащем ему (его семье) имуществе на праве собственности, по форме, утвержденной приказом департамента социальной защиты населения правительства области;</w:t>
      </w:r>
      <w:r/>
    </w:p>
    <w:p>
      <w:pPr>
        <w:pStyle w:val="855"/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/>
          <w:sz w:val="28"/>
          <w:szCs w:val="28"/>
          <w:lang w:eastAsia="ru-RU"/>
        </w:rPr>
        <w:t xml:space="preserve"> удостоверяющие личность гражданина и членов его семьи, достигших 14 лет;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 сведения о государственной регистрации рождения членов семьи гражданина, не достигших 14 лет (при их наличии);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документы,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подтверждающие факт регистрации рождения членов семьи гражданина, не достигших 14 лет (при их наличии), выданные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д) сведения о доходах за три месяца, предшествующих месяцу обращения за оказанием материальной помощи: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сведения о заработной плате (для работающего гражданина и (или) членов его семьи (при их наличии);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сведения из органов службы занятости о размере пособия по безработице (для неработающего гражданина и (или) членов его семьи (при их наличии);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справка о размере получаемой пенсии (для гражданина и (или) членов его семьи (при их наличии) из числа пенсионеров);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сведения о доходах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 форме 3-НДФЛ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(для гражданина и (или) членов его семьи (при их наличии) из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числа лиц, осуществляющих деятельность в качестве индивидуального предпринимателя, адвоката, нотариуса, физического лица либо лица, профессиональная деятельность которого в соответствии с федеральным законодательством подлежит государственной регистрации);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иные сведения о доходах, учитываемые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Федерации от 20.02.2003 № 512;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е) сведения о страховом номере индивидуального лицевого счета гражданина, а также членов его семьи, совместно с ним проживающих, в системе обязательного пенсионного страхования;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ж)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документы, подтверждающие наличие трудной жизненной ситуации: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справка органа внутренних дел о рассмотрении заявления гражданина по факту совершения в отношении него или членов его семьи, совместно с ним зарегистрированных, преступления против собственности;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справка соответствующей службы, протокол решения уполномоченного органа или комиссии, подтверждающие факт имущественных потерь вследствие пожара, стихийного или техногенного воздействия;</w:t>
      </w:r>
      <w:r/>
    </w:p>
    <w:p>
      <w:pPr>
        <w:contextualSpacing w:val="0"/>
        <w:ind w:firstLine="709"/>
        <w:jc w:val="both"/>
        <w:spacing w:after="0" w:line="240" w:lineRule="auto"/>
        <w:shd w:val="clear" w:color="ffffff" w:themeColor="background1" w:fill="ffffff" w:themeFill="background1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документы (справка, информация) иного соответствующего органа (службы), подтверждающие сложившуюся трудную жизненную ситуацию;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з) трудовая книжка и (или) сведения о трудовой деятельности (для неработающего гражданина и (или) членов его семьи (при их наличии).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2.3.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 предоставлением материальной помощи гражданин может обратиться: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в Центр или филиал Центра по месту жительства (месту пребывания) (далее – филиал Центра);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посредством почтовой связи способом, позволяющим подтвердить факт и дату отправления документов.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 обращении за пред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оставлением материальной помощи в Центр или филиал Центра гражданин представляет документы (сведения), предусмотренные подпунктами «а», «б», «г», абзацами вторым, пятым и шестым подпункта «д», подпунктами «ж» и «з» подпункта 2.2 настоящего пункта. Датой обращения за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предоставлением материальной помощи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считается день приема Центром или филиалом Центра заявления. Сотрудник Центра или филиала Центра, в должностные обязанности которого входит прием документов, снимает с них копии и заверяет подлинность указанных документов.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 обращении за предоставлением материальной помощи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посредством почтовой связи гражданин представляет документы (сведения),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предусмотренные подпунктами «а», «б», «г», абзацами вторым и пятым подпункта «д», подпунктами «ж» и «з» подпункта 2.2 настоящего пункта.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Датой обращения за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предоставлением материальной помощи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считается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дата, указанная на почтовом штемпеле организации федеральной почтовой связи по месту отправления данных документов (сведений). При этом копии документов (сведений), предусмотренных подпунктами «б», «г»,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абзацами вторым и пятым подпункта «д», подпунктами «ж» и «з» подпункта 2.2 настоящего пункта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должны быть заверены в установленном законодательством порядке.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Специалист Центра либо филиала Центра регистрирует заявление в журнале регистрации заявлений граждан.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учае представления ненадлежащим образом оформленных документов (сведений) или неполного пакета документов (сведений), предусмотренных абзацем пятым настоящего подпункта, Центр или филиал Центра в течение 5 рабочих дней возвращает документы (сведения) бе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 их рассмотрения гражданину для дооформления.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После дооформления документов (сведений) гражданин вправе повторно обратиться в Центр или филиал Центра в порядке, установленном настоящим Порядком.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2.4. Центр либо филиал Центра не вправе требовать от гражданина представления сведений, предусмотренных подпунктом «в», абзацами третьим, четвертым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шестым подпункта «д», подпунктом «е»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 2.2 настоящего пункта. Гражданин вправе представить указанные сведения в Центр либо филиал Центра по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собственной инициативе.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если гражданин не представил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подпунктом «в»,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абзацами третьим, четвертым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шестым подпункта «д», подпунктом «е»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 2.2 настоящего пункта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Центр либо филиал Центра запрашивает указанные сведения в порядке межведомственного информационного взаимодейст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вия в соответствующих органах государственной власти,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органах местного самоуправления,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органах государственных внебюджетных фондов.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2.5.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Филиал Центра в течение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7 рабочих дней со дня получения документов (сведений),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предусмотренных абзацами пятым – седьмым подпункта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2.3 настоящего пункта, передает их в Центр для принятия решения о предоставлении либо отказе в предоставлении материальной помощ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и.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2.6. Центр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течение 23 рабочих дней со дня поступления документов (сведений),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предусмотренных абзацами пятым – седьмым подпункта 2.3 настоящего пункта,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принимает решение о предоставлении материальной помощи либо об отказе в предоставлении материальной помощ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и, а также определяет объем и вид материальной помощи с учетом решения (рекомендаций) комиссии, создаваемой Центром.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Положение о Комиссии, ее состав утверждается приказом Центра.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2.7.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Центр направляет гражданину уведомление о принятом решении в течение 5 рабочих дней со дня принятия решения.»;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ункт 3 изложить в следующей редакции: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«3. Гражданам без определенного места жительства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разовая помощь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предоставляется без обследования их материального положения.»;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пункт 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«4. Размер материальной помощи не может превышать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50,0 тыс. рублей»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пункте 5:</w:t>
      </w:r>
      <w:r>
        <w:rPr>
          <w:highlight w:val="white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абзаце первом слово «оказания» заменить словом «предоставления»;</w:t>
      </w:r>
      <w:r>
        <w:rPr>
          <w:highlight w:val="white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подпункте 5.2 слово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«оказана» заменить словом «предоставлена»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пункт 6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«6. Основаниями для принятия решения об отказе гражданину в предоставлении материальной помощи являются: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 отсутствие права на получение материальной помощи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получение в текущем финансовом году материальной помощи по основаниям, по которым повторно запрашивается материальная помощь;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наличие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Настоящее пост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ановление вступает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 силу со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дня </w:t>
      </w:r>
      <w:r>
        <w:rPr>
          <w:rFonts w:ascii="Times New Roman" w:hAnsi="Times New Roman"/>
          <w:sz w:val="28"/>
          <w:szCs w:val="28"/>
          <w:highlight w:val="white"/>
        </w:rPr>
        <w:t xml:space="preserve">его </w:t>
      </w:r>
      <w:r>
        <w:rPr>
          <w:rFonts w:ascii="Times New Roman" w:hAnsi="Times New Roman"/>
          <w:sz w:val="28"/>
          <w:szCs w:val="28"/>
          <w:highlight w:val="white"/>
        </w:rPr>
        <w:t xml:space="preserve">официального опубликования.</w:t>
      </w:r>
      <w:r>
        <w:rPr>
          <w:highlight w:val="white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850" w:bottom="1135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2253" w:hanging="1260"/>
      </w:pPr>
      <w:rPr>
        <w:rFonts w:ascii="Times New Roman" w:hAnsi="Times New Roman" w:eastAsia="Calibri" w:cs="Times New Roman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pStyle w:val="855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5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5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5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5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5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5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5"/>
        <w:ind w:left="2869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856">
    <w:name w:val="Основной шрифт абзаца"/>
    <w:next w:val="856"/>
    <w:link w:val="855"/>
    <w:uiPriority w:val="99"/>
    <w:semiHidden/>
  </w:style>
  <w:style w:type="table" w:styleId="857">
    <w:name w:val="Обычная таблица"/>
    <w:next w:val="857"/>
    <w:link w:val="855"/>
    <w:uiPriority w:val="99"/>
    <w:semiHidden/>
    <w:unhideWhenUsed/>
    <w:tblPr/>
  </w:style>
  <w:style w:type="numbering" w:styleId="858">
    <w:name w:val="Нет списка"/>
    <w:next w:val="858"/>
    <w:link w:val="855"/>
    <w:uiPriority w:val="99"/>
    <w:semiHidden/>
    <w:unhideWhenUsed/>
  </w:style>
  <w:style w:type="paragraph" w:styleId="859">
    <w:name w:val="ConsPlusNormal"/>
    <w:next w:val="859"/>
    <w:link w:val="855"/>
    <w:uiPriority w:val="99"/>
    <w:pPr>
      <w:widowControl w:val="off"/>
    </w:pPr>
    <w:rPr>
      <w:sz w:val="22"/>
      <w:lang w:val="ru-RU" w:eastAsia="ru-RU" w:bidi="ar-SA"/>
    </w:rPr>
  </w:style>
  <w:style w:type="paragraph" w:styleId="860">
    <w:name w:val="ConsPlusTitle"/>
    <w:next w:val="860"/>
    <w:link w:val="855"/>
    <w:uiPriority w:val="99"/>
    <w:pPr>
      <w:widowControl w:val="off"/>
    </w:pPr>
    <w:rPr>
      <w:b/>
      <w:sz w:val="22"/>
      <w:lang w:val="ru-RU" w:eastAsia="ru-RU" w:bidi="ar-SA"/>
    </w:rPr>
  </w:style>
  <w:style w:type="paragraph" w:styleId="861">
    <w:name w:val="ConsPlusNonformat"/>
    <w:next w:val="861"/>
    <w:link w:val="85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62">
    <w:name w:val="Текст выноски"/>
    <w:basedOn w:val="855"/>
    <w:next w:val="862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>
    <w:name w:val="Верхний колонтитул"/>
    <w:basedOn w:val="855"/>
    <w:next w:val="864"/>
    <w:link w:val="86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>
    <w:name w:val="Верхний колонтитул Знак"/>
    <w:next w:val="865"/>
    <w:link w:val="864"/>
    <w:uiPriority w:val="99"/>
    <w:rPr>
      <w:rFonts w:cs="Times New Roman"/>
    </w:rPr>
  </w:style>
  <w:style w:type="character" w:styleId="866">
    <w:name w:val="Нижний колонтитул Знак1"/>
    <w:next w:val="866"/>
    <w:link w:val="868"/>
    <w:uiPriority w:val="99"/>
    <w:rPr>
      <w:rFonts w:cs="Times New Roman"/>
    </w:rPr>
  </w:style>
  <w:style w:type="character" w:styleId="867">
    <w:name w:val="Гиперссылка"/>
    <w:next w:val="867"/>
    <w:link w:val="855"/>
    <w:uiPriority w:val="99"/>
    <w:rPr>
      <w:rFonts w:cs="Times New Roman"/>
      <w:color w:val="0000ff"/>
      <w:u w:val="single"/>
    </w:rPr>
  </w:style>
  <w:style w:type="paragraph" w:styleId="868">
    <w:name w:val="Нижний колонтитул"/>
    <w:basedOn w:val="855"/>
    <w:next w:val="868"/>
    <w:link w:val="866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next w:val="869"/>
    <w:link w:val="855"/>
    <w:uiPriority w:val="99"/>
    <w:semiHidden/>
    <w:rPr>
      <w:rFonts w:cs="Times New Roman"/>
      <w:lang w:eastAsia="en-US"/>
    </w:rPr>
  </w:style>
  <w:style w:type="character" w:styleId="870">
    <w:name w:val="Нижний колонтитул Знак13"/>
    <w:next w:val="870"/>
    <w:link w:val="855"/>
    <w:uiPriority w:val="99"/>
    <w:semiHidden/>
    <w:rPr>
      <w:rFonts w:cs="Times New Roman"/>
      <w:lang w:val="en-US" w:eastAsia="en-US"/>
    </w:rPr>
  </w:style>
  <w:style w:type="character" w:styleId="871">
    <w:name w:val="Нижний колонтитул Знак12"/>
    <w:next w:val="871"/>
    <w:link w:val="855"/>
    <w:uiPriority w:val="99"/>
    <w:semiHidden/>
    <w:rPr>
      <w:rFonts w:cs="Times New Roman"/>
      <w:lang w:val="en-US" w:eastAsia="en-US"/>
    </w:rPr>
  </w:style>
  <w:style w:type="character" w:styleId="872">
    <w:name w:val="Нижний колонтитул Знак11"/>
    <w:next w:val="872"/>
    <w:link w:val="855"/>
    <w:uiPriority w:val="99"/>
    <w:semiHidden/>
    <w:rPr>
      <w:rFonts w:cs="Times New Roman"/>
      <w:lang w:val="en-US" w:eastAsia="en-US"/>
    </w:rPr>
  </w:style>
  <w:style w:type="character" w:styleId="873">
    <w:name w:val="Нижний колонтитул Знак10"/>
    <w:next w:val="873"/>
    <w:link w:val="855"/>
    <w:uiPriority w:val="99"/>
    <w:semiHidden/>
    <w:rPr>
      <w:rFonts w:cs="Times New Roman"/>
      <w:lang w:val="en-US" w:eastAsia="en-US"/>
    </w:rPr>
  </w:style>
  <w:style w:type="character" w:styleId="874">
    <w:name w:val="Нижний колонтитул Знак9"/>
    <w:next w:val="874"/>
    <w:link w:val="855"/>
    <w:uiPriority w:val="99"/>
    <w:semiHidden/>
    <w:rPr>
      <w:rFonts w:cs="Times New Roman"/>
      <w:lang w:val="en-US" w:eastAsia="en-US"/>
    </w:rPr>
  </w:style>
  <w:style w:type="character" w:styleId="875">
    <w:name w:val="Нижний колонтитул Знак8"/>
    <w:next w:val="875"/>
    <w:link w:val="855"/>
    <w:uiPriority w:val="99"/>
    <w:semiHidden/>
    <w:rPr>
      <w:rFonts w:cs="Times New Roman"/>
      <w:lang w:val="en-US" w:eastAsia="en-US"/>
    </w:rPr>
  </w:style>
  <w:style w:type="character" w:styleId="876">
    <w:name w:val="Нижний колонтитул Знак7"/>
    <w:next w:val="876"/>
    <w:link w:val="855"/>
    <w:uiPriority w:val="99"/>
    <w:semiHidden/>
    <w:rPr>
      <w:rFonts w:cs="Times New Roman"/>
      <w:lang w:val="en-US" w:eastAsia="en-US"/>
    </w:rPr>
  </w:style>
  <w:style w:type="character" w:styleId="877">
    <w:name w:val="Нижний колонтитул Знак6"/>
    <w:next w:val="877"/>
    <w:link w:val="855"/>
    <w:uiPriority w:val="99"/>
    <w:semiHidden/>
    <w:rPr>
      <w:rFonts w:cs="Times New Roman"/>
      <w:lang w:val="en-US" w:eastAsia="en-US"/>
    </w:rPr>
  </w:style>
  <w:style w:type="character" w:styleId="878">
    <w:name w:val="Нижний колонтитул Знак5"/>
    <w:next w:val="878"/>
    <w:link w:val="855"/>
    <w:uiPriority w:val="99"/>
    <w:semiHidden/>
    <w:rPr>
      <w:rFonts w:cs="Times New Roman"/>
      <w:lang w:val="en-US" w:eastAsia="en-US"/>
    </w:rPr>
  </w:style>
  <w:style w:type="character" w:styleId="879">
    <w:name w:val="Нижний колонтитул Знак4"/>
    <w:next w:val="879"/>
    <w:link w:val="855"/>
    <w:uiPriority w:val="99"/>
    <w:semiHidden/>
    <w:rPr>
      <w:rFonts w:cs="Times New Roman"/>
      <w:lang w:val="en-US" w:eastAsia="en-US"/>
    </w:rPr>
  </w:style>
  <w:style w:type="character" w:styleId="880">
    <w:name w:val="Нижний колонтитул Знак3"/>
    <w:next w:val="880"/>
    <w:link w:val="855"/>
    <w:uiPriority w:val="99"/>
    <w:semiHidden/>
    <w:rPr>
      <w:rFonts w:cs="Times New Roman"/>
      <w:lang w:val="en-US" w:eastAsia="en-US"/>
    </w:rPr>
  </w:style>
  <w:style w:type="character" w:styleId="881">
    <w:name w:val="Нижний колонтитул Знак2"/>
    <w:next w:val="881"/>
    <w:link w:val="855"/>
    <w:uiPriority w:val="99"/>
    <w:rPr>
      <w:rFonts w:cs="Times New Roman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creator>Мамчикова Ольга Александровна</dc:creator>
  <cp:revision>47</cp:revision>
  <dcterms:created xsi:type="dcterms:W3CDTF">2020-09-24T00:38:00Z</dcterms:created>
  <dcterms:modified xsi:type="dcterms:W3CDTF">2023-05-02T03:08:42Z</dcterms:modified>
  <cp:version>1048576</cp:version>
</cp:coreProperties>
</file>